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7234" w14:textId="77777777" w:rsidR="000C65FE" w:rsidRPr="002E1CAB" w:rsidRDefault="000C65FE" w:rsidP="00232CFC">
      <w:pPr>
        <w:spacing w:after="120"/>
        <w:ind w:right="-289"/>
        <w:jc w:val="both"/>
        <w:rPr>
          <w:b/>
        </w:rPr>
      </w:pPr>
      <w:r w:rsidRPr="002E1CAB">
        <w:rPr>
          <w:b/>
        </w:rPr>
        <w:t xml:space="preserve">Zalecenia i rekomendacje </w:t>
      </w:r>
      <w:r w:rsidR="00D84AB8" w:rsidRPr="002E1CAB">
        <w:rPr>
          <w:b/>
        </w:rPr>
        <w:t xml:space="preserve">dla beneficjentów </w:t>
      </w:r>
      <w:r w:rsidRPr="002E1CAB">
        <w:rPr>
          <w:b/>
        </w:rPr>
        <w:t xml:space="preserve">w związku ze stwierdzeniem </w:t>
      </w:r>
      <w:r w:rsidR="00E171DE">
        <w:rPr>
          <w:b/>
        </w:rPr>
        <w:br/>
      </w:r>
      <w:r w:rsidR="00D84AB8" w:rsidRPr="002E1CAB">
        <w:rPr>
          <w:b/>
        </w:rPr>
        <w:t xml:space="preserve">najczęstszych </w:t>
      </w:r>
      <w:r w:rsidRPr="002E1CAB">
        <w:rPr>
          <w:b/>
        </w:rPr>
        <w:t xml:space="preserve">naruszeń w </w:t>
      </w:r>
      <w:r w:rsidR="00330384" w:rsidRPr="002E1CAB">
        <w:rPr>
          <w:b/>
        </w:rPr>
        <w:t xml:space="preserve">zakresie </w:t>
      </w:r>
      <w:r w:rsidR="00307818">
        <w:rPr>
          <w:b/>
        </w:rPr>
        <w:t>zasad konkurencyjnego wyboru wykonawców</w:t>
      </w:r>
      <w:r w:rsidR="00330384" w:rsidRPr="002E1CAB">
        <w:rPr>
          <w:b/>
        </w:rPr>
        <w:t xml:space="preserve"> </w:t>
      </w:r>
      <w:r w:rsidR="00307818">
        <w:rPr>
          <w:b/>
        </w:rPr>
        <w:t xml:space="preserve">w ocenionych w okresie </w:t>
      </w:r>
      <w:r w:rsidR="00E171DE">
        <w:rPr>
          <w:b/>
        </w:rPr>
        <w:t>01.05.2019 – 01.06.2020 r.</w:t>
      </w:r>
      <w:r w:rsidRPr="002E1CAB">
        <w:rPr>
          <w:b/>
        </w:rPr>
        <w:t xml:space="preserve"> wnioskach o płatność </w:t>
      </w:r>
      <w:r w:rsidR="00330384" w:rsidRPr="002E1CAB">
        <w:rPr>
          <w:b/>
        </w:rPr>
        <w:t>w ramach PO Rybactwo i Morze 2014 - 2020</w:t>
      </w:r>
    </w:p>
    <w:p w14:paraId="489C06A3" w14:textId="77777777" w:rsidR="00B351C7" w:rsidRDefault="003259F0" w:rsidP="00FA53F7">
      <w:pPr>
        <w:pStyle w:val="Akapitzlist"/>
        <w:numPr>
          <w:ilvl w:val="0"/>
          <w:numId w:val="2"/>
        </w:numPr>
        <w:ind w:left="567" w:right="-289"/>
        <w:jc w:val="both"/>
        <w:rPr>
          <w:i/>
        </w:rPr>
      </w:pPr>
      <w:r>
        <w:t>Niepozyskiwanie co najmniej dwóch ofert na realizację zamówienia, przedstawienie wyłącznie jednej oferty wybranego wykonawcy – brak udokumentowania podjęcia próby zdobycia min. 2 ofert od potencjalnych wykonawców, zarówno w przypadku beneficjentów, którzy uzyskali pomoc w wyniku konkursów ogłoszonych przed 16 kwietnia 2018 r. (obowiązują wyłącznie zapisy umów)</w:t>
      </w:r>
      <w:r w:rsidR="001C1AB3">
        <w:t xml:space="preserve">, jak i beneficjentów, których obowiązują </w:t>
      </w:r>
      <w:r w:rsidR="001C1AB3" w:rsidRPr="001C1AB3">
        <w:rPr>
          <w:i/>
        </w:rPr>
        <w:t>Zasady konkurencyjnego wyboru wykonawców</w:t>
      </w:r>
      <w:r w:rsidR="00BC6484">
        <w:rPr>
          <w:i/>
        </w:rPr>
        <w:t>.</w:t>
      </w:r>
    </w:p>
    <w:p w14:paraId="24B77B93" w14:textId="77777777" w:rsidR="009F698B" w:rsidRDefault="009F698B" w:rsidP="009F698B">
      <w:pPr>
        <w:pStyle w:val="Akapitzlist"/>
        <w:ind w:left="567" w:right="-289"/>
        <w:jc w:val="both"/>
        <w:rPr>
          <w:i/>
        </w:rPr>
      </w:pPr>
    </w:p>
    <w:p w14:paraId="2E0C8082" w14:textId="77777777" w:rsidR="00E33C03" w:rsidRPr="009F698B" w:rsidRDefault="00E33C03" w:rsidP="00FA53F7">
      <w:pPr>
        <w:pStyle w:val="Akapitzlist"/>
        <w:numPr>
          <w:ilvl w:val="0"/>
          <w:numId w:val="2"/>
        </w:numPr>
        <w:ind w:left="567" w:right="-289"/>
        <w:jc w:val="both"/>
        <w:rPr>
          <w:i/>
        </w:rPr>
      </w:pPr>
      <w:r>
        <w:t>Pozyskanie 2 ofert lub wybór oferty niezgodnych z treścią zapytania ofertowego – w szczególności w przypadku zamówień na maszyny, urządzenia, charakteryzujące się konkretnymi parametrami zamawiający dokonują wyboru ofert, które nie spełniają wszystkich postawionych wymogów (zarówno w odniesieniu do wymaganych cech produktu jak i postawionych w zapytaniu ofertowym wymogów względem wykonawców - kryteriów oceny ofert oraz warunków udziału w postępowaniu)</w:t>
      </w:r>
      <w:r w:rsidR="00BC6484">
        <w:t>.</w:t>
      </w:r>
    </w:p>
    <w:p w14:paraId="30AAC75B" w14:textId="77777777" w:rsidR="009F698B" w:rsidRPr="009F698B" w:rsidRDefault="009F698B" w:rsidP="009F698B">
      <w:pPr>
        <w:pStyle w:val="Akapitzlist"/>
        <w:rPr>
          <w:i/>
        </w:rPr>
      </w:pPr>
    </w:p>
    <w:p w14:paraId="22AEB684" w14:textId="77777777" w:rsidR="009F698B" w:rsidRPr="00E33C03" w:rsidRDefault="009F698B" w:rsidP="009F698B">
      <w:pPr>
        <w:pStyle w:val="Akapitzlist"/>
        <w:ind w:left="567" w:right="-289"/>
        <w:jc w:val="both"/>
        <w:rPr>
          <w:i/>
        </w:rPr>
      </w:pPr>
    </w:p>
    <w:p w14:paraId="239CB23B" w14:textId="77777777" w:rsidR="00E33C03" w:rsidRPr="009F698B" w:rsidRDefault="002B0DAA" w:rsidP="00FA53F7">
      <w:pPr>
        <w:pStyle w:val="Akapitzlist"/>
        <w:numPr>
          <w:ilvl w:val="0"/>
          <w:numId w:val="2"/>
        </w:numPr>
        <w:ind w:left="567" w:right="-289"/>
        <w:jc w:val="both"/>
        <w:rPr>
          <w:i/>
        </w:rPr>
      </w:pPr>
      <w:r>
        <w:t xml:space="preserve">Niewłaściwe grupowanie zadań w zestawieniu rzeczowo-finansowym skutkujący błędnym dzieleniem zamówień i wyborem niewłaściwego trybu udzielenia zamówienia. </w:t>
      </w:r>
      <w:r w:rsidR="00981EA0">
        <w:t>Należy pamiętać, że dokonując grupowania zamówień i wyboru trybu udzielenia zamówienia należy kierować się zasadami dzielenia zamówień obowiązującymi w zamówieniach publicznych. W przypadku gdy kilka zamówień w ramach jednej operacji dotyczy tej samej kategorii kosztów, Beneficjent powinien je zsumować na potrzeby oblicze</w:t>
      </w:r>
      <w:r w:rsidR="00BC6484">
        <w:t>nia wartości zamówienia. Wartości</w:t>
      </w:r>
      <w:r w:rsidR="00981EA0">
        <w:t xml:space="preserve"> </w:t>
      </w:r>
      <w:r w:rsidR="00BC6484">
        <w:t>poszczególnych zamówień powinny zostać zsumowane, w przypadku łącznego spełnienia następujących przesłanek: 1) usługi, dostawy lub roboty budowlane są tożsame rodzajowo lub funkcjonalnie; 2) możliwe jest udzielenie zamówienia w tym samym czasie; 3) możliwe jest wykonanie zamówienia przez jednego wykonawcę.</w:t>
      </w:r>
    </w:p>
    <w:p w14:paraId="4D6E57D3" w14:textId="77777777" w:rsidR="009F698B" w:rsidRPr="00195C7F" w:rsidRDefault="009F698B" w:rsidP="009F698B">
      <w:pPr>
        <w:pStyle w:val="Akapitzlist"/>
        <w:ind w:left="567" w:right="-289"/>
        <w:jc w:val="both"/>
        <w:rPr>
          <w:i/>
        </w:rPr>
      </w:pPr>
    </w:p>
    <w:p w14:paraId="1D2C240E" w14:textId="77777777" w:rsidR="00195C7F" w:rsidRPr="009F698B" w:rsidRDefault="00195C7F" w:rsidP="00FA53F7">
      <w:pPr>
        <w:pStyle w:val="Akapitzlist"/>
        <w:numPr>
          <w:ilvl w:val="0"/>
          <w:numId w:val="2"/>
        </w:numPr>
        <w:ind w:left="567" w:right="-289"/>
        <w:jc w:val="both"/>
        <w:rPr>
          <w:i/>
        </w:rPr>
      </w:pPr>
      <w:r>
        <w:t xml:space="preserve">Brak udokumentowania szacowania wartości zamówienia </w:t>
      </w:r>
      <w:r w:rsidR="00A21E14">
        <w:t>– prawidłowe oszacowanie wartości zamówienia służy przede wszystkim beneficjentowi w celu dokonania prawidłowego trybu udzielenia zamówienia, a przedstawienie instytucji wdrażającej dokumentów, na podstawie których zamawiający dokonał szacowania (pozyskane oferty, wydruki ofert internetowych itp., odpowiedzi potencjalnych wykonawców) – wykazaniu, że beneficjent dokonał tego procesu w sposób prawidłowy.</w:t>
      </w:r>
    </w:p>
    <w:p w14:paraId="416FDDDD" w14:textId="77777777" w:rsidR="009F698B" w:rsidRPr="009F698B" w:rsidRDefault="009F698B" w:rsidP="009F698B">
      <w:pPr>
        <w:pStyle w:val="Akapitzlist"/>
        <w:rPr>
          <w:i/>
        </w:rPr>
      </w:pPr>
    </w:p>
    <w:p w14:paraId="7B9F4AA3" w14:textId="77777777" w:rsidR="009F698B" w:rsidRPr="00BC6484" w:rsidRDefault="009F698B" w:rsidP="009F698B">
      <w:pPr>
        <w:pStyle w:val="Akapitzlist"/>
        <w:ind w:left="567" w:right="-289"/>
        <w:jc w:val="both"/>
        <w:rPr>
          <w:i/>
        </w:rPr>
      </w:pPr>
    </w:p>
    <w:p w14:paraId="28FF49E0" w14:textId="77777777" w:rsidR="009F698B" w:rsidRPr="009F698B" w:rsidRDefault="000A1695" w:rsidP="00FA53F7">
      <w:pPr>
        <w:pStyle w:val="Akapitzlist"/>
        <w:numPr>
          <w:ilvl w:val="0"/>
          <w:numId w:val="2"/>
        </w:numPr>
        <w:ind w:left="567" w:right="-289"/>
        <w:jc w:val="both"/>
        <w:rPr>
          <w:i/>
        </w:rPr>
      </w:pPr>
      <w:r>
        <w:t>Nieprawidłowa realizacja robót budowlanych – często beneficjenci dzielą roboty budowlane będą</w:t>
      </w:r>
      <w:r w:rsidR="002A1DAB">
        <w:t xml:space="preserve">ce jednym rodzajem zamówienia na dostawy i usługi, nie wyłaniając wykonawcy na roboty budowlane, a wielu wykonawców (jednakże z pominięciem zasad konkurencyjności, dokonując bezpośrednich zakupów) na dostawy (materiały budowlane) i usługi (robocizna). </w:t>
      </w:r>
      <w:r w:rsidR="0086372F">
        <w:rPr>
          <w:rFonts w:eastAsia="Calibri"/>
        </w:rPr>
        <w:t xml:space="preserve">Realizacja robót budowlanych, zarówno w myśl prawa budowlanego jak i zamówień publicznych, przebiega według schematu określonego przepisami prawa budowlanego </w:t>
      </w:r>
      <w:r w:rsidR="003E5B50">
        <w:rPr>
          <w:rFonts w:eastAsia="Calibri"/>
        </w:rPr>
        <w:br/>
      </w:r>
      <w:r w:rsidR="0086372F">
        <w:rPr>
          <w:rFonts w:eastAsia="Calibri"/>
        </w:rPr>
        <w:t xml:space="preserve">i wiąże się z koniecznością przygotowania stosownej dokumentacji budowlanej, której zakres, formę oraz sposób opracowania również określają ww. przepisy. Wreszcie realizacja i odbiór robót budowlanych wiąże się z obowiązkiem dokonania stosownych formalności </w:t>
      </w:r>
      <w:r w:rsidR="003E5B50">
        <w:rPr>
          <w:rFonts w:eastAsia="Calibri"/>
        </w:rPr>
        <w:br/>
      </w:r>
      <w:r w:rsidR="0086372F">
        <w:rPr>
          <w:rFonts w:eastAsia="Calibri"/>
        </w:rPr>
        <w:t xml:space="preserve">i uzyskania decyzji administracyjnych takich jak zgłoszenie robót budowlanych, decyzji </w:t>
      </w:r>
      <w:r w:rsidR="003E5B50">
        <w:rPr>
          <w:rFonts w:eastAsia="Calibri"/>
        </w:rPr>
        <w:br/>
      </w:r>
      <w:r w:rsidR="0086372F">
        <w:rPr>
          <w:rFonts w:eastAsia="Calibri"/>
        </w:rPr>
        <w:t xml:space="preserve">o pozwoleniu na budowę, pozwolenia na użytkowanie itp. Z uwagi na specyfikę procesu </w:t>
      </w:r>
      <w:r w:rsidR="0086372F">
        <w:rPr>
          <w:rFonts w:eastAsia="Calibri"/>
        </w:rPr>
        <w:lastRenderedPageBreak/>
        <w:t>budowlanego w dziedzinie udzielania zamówień funkcjonują 3 rodzaje zamówień – dostawy, usługi i roboty budowlane, w związku z czym w żadnym razie robotom budowlanym nie można nadawać formy „d</w:t>
      </w:r>
      <w:r w:rsidR="00333015">
        <w:rPr>
          <w:rFonts w:eastAsia="Calibri"/>
        </w:rPr>
        <w:t>ostawa plus usługa”. Przeczy</w:t>
      </w:r>
      <w:r w:rsidR="0086372F">
        <w:rPr>
          <w:rFonts w:eastAsia="Calibri"/>
        </w:rPr>
        <w:t xml:space="preserve"> to istocie r</w:t>
      </w:r>
      <w:r w:rsidR="00333015">
        <w:rPr>
          <w:rFonts w:eastAsia="Calibri"/>
        </w:rPr>
        <w:t>obót budowlanych oraz prowadzi</w:t>
      </w:r>
      <w:r w:rsidR="0086372F">
        <w:rPr>
          <w:rFonts w:eastAsia="Calibri"/>
        </w:rPr>
        <w:t xml:space="preserve"> do ominięcia reguł prawnych, jakie rządzą robotami budowlanymi. Istotne jest, że Beneficjenci starający się o pomoc finansową, dokumentując operacje związane z realizacją robót budowlanych, w zależności od charakteru i zak</w:t>
      </w:r>
      <w:r w:rsidR="00333015">
        <w:rPr>
          <w:rFonts w:eastAsia="Calibri"/>
        </w:rPr>
        <w:t>resu inwestycji bazują</w:t>
      </w:r>
      <w:r w:rsidR="0086372F">
        <w:rPr>
          <w:rFonts w:eastAsia="Calibri"/>
        </w:rPr>
        <w:t xml:space="preserve"> na dokumentacji budowlanej, a wartość robót ustalana jest w oparciu </w:t>
      </w:r>
      <w:r w:rsidR="003E5B50">
        <w:rPr>
          <w:rFonts w:eastAsia="Calibri"/>
        </w:rPr>
        <w:br/>
      </w:r>
      <w:r w:rsidR="0086372F">
        <w:rPr>
          <w:rFonts w:eastAsia="Calibri"/>
        </w:rPr>
        <w:t xml:space="preserve">o kosztorysy inwestorskie, sporządzone zgodnie z przepisami. Uwzględniają one zarówno koszt i zapotrzebowanie na materiały budowlane i sprzęt jak i koszt i zakres robocizny. Istotą realizacji robót budowlanych jest ich wykonanie przez podmiot/podmioty zdolne </w:t>
      </w:r>
      <w:r w:rsidR="00333015">
        <w:rPr>
          <w:rFonts w:eastAsia="Calibri"/>
        </w:rPr>
        <w:br/>
      </w:r>
      <w:r w:rsidR="0086372F">
        <w:rPr>
          <w:rFonts w:eastAsia="Calibri"/>
        </w:rPr>
        <w:t xml:space="preserve">i kompetentne, na których, dzięki regułom formalno-prawnym branży budowlanej, spoczywa odpowiedzialność za realizację robót zgodnie z dokumentacją budowlaną, </w:t>
      </w:r>
      <w:r w:rsidR="003E5B50">
        <w:rPr>
          <w:rFonts w:eastAsia="Calibri"/>
        </w:rPr>
        <w:br/>
      </w:r>
      <w:r w:rsidR="0086372F">
        <w:rPr>
          <w:rFonts w:eastAsia="Calibri"/>
        </w:rPr>
        <w:t>w oparciu o kosztorys inwestorski. W przypadku, gdy to Beneficjent/Zamawiający dokonuje zakupu materiałów budowlanych, a wykonawcy zewnętrzni realizują tylko usługę wykonania prac budowlanych, kwestia odpowied</w:t>
      </w:r>
      <w:r w:rsidR="003E5B50">
        <w:rPr>
          <w:rFonts w:eastAsia="Calibri"/>
        </w:rPr>
        <w:t xml:space="preserve">zialności za prawidłowy, zgodny </w:t>
      </w:r>
      <w:r w:rsidR="003E5B50">
        <w:rPr>
          <w:rFonts w:eastAsia="Calibri"/>
        </w:rPr>
        <w:br/>
      </w:r>
      <w:r w:rsidR="0086372F">
        <w:rPr>
          <w:rFonts w:eastAsia="Calibri"/>
        </w:rPr>
        <w:t xml:space="preserve">z dokumentacja przebieg inwestycji, rozmywa się. Ponadto, faktury dokumentujące wydatki poniesione na zakup materiałów budowlanych lub robociznę, nie korespondują </w:t>
      </w:r>
      <w:r w:rsidR="003E5B50">
        <w:rPr>
          <w:rFonts w:eastAsia="Calibri"/>
        </w:rPr>
        <w:br/>
      </w:r>
      <w:r w:rsidR="0086372F">
        <w:rPr>
          <w:rFonts w:eastAsia="Calibri"/>
        </w:rPr>
        <w:t xml:space="preserve">z kosztorysem inwestorskim. Skonfrontowanie zakresu rzeczowego operacji wynikającego z dokumentacji kosztorysowej z tym, co rzeczywiście zostało zrealizowane, w oparciu </w:t>
      </w:r>
      <w:r w:rsidR="003E5B50">
        <w:rPr>
          <w:rFonts w:eastAsia="Calibri"/>
        </w:rPr>
        <w:br/>
      </w:r>
      <w:r w:rsidR="0086372F">
        <w:rPr>
          <w:rFonts w:eastAsia="Calibri"/>
        </w:rPr>
        <w:t xml:space="preserve">o wykaz faktur, na których nierzadko widnieją inne nazwy materiałów, podane w innych jednostkach i ilościach, jest </w:t>
      </w:r>
      <w:r w:rsidR="00333015">
        <w:rPr>
          <w:rFonts w:eastAsia="Calibri"/>
        </w:rPr>
        <w:t>praktycznie nie</w:t>
      </w:r>
      <w:r w:rsidR="0086372F">
        <w:rPr>
          <w:rFonts w:eastAsia="Calibri"/>
        </w:rPr>
        <w:t>możliwe</w:t>
      </w:r>
      <w:r w:rsidR="00333015">
        <w:rPr>
          <w:rFonts w:eastAsia="Calibri"/>
        </w:rPr>
        <w:t xml:space="preserve"> i pozbawione zasadności. Ponadto, beneficjent, dokonując bezpośredniego zakupu materiałów budowlanych, narusza zasady konkurencyjnego wyboru wykonawców. Prawidłowe postępowanie sprowadza się do pozyskania ofert na całość robót budowlanych, z zastosowaniem wytycznych zawartych w obowiązujących beneficjenta zasadach konkurencyjnego trybu wyboru wykonawców. </w:t>
      </w:r>
      <w:r w:rsidR="00195C7F">
        <w:rPr>
          <w:rFonts w:eastAsia="Calibri"/>
        </w:rPr>
        <w:t xml:space="preserve">Jeśli jest to możliwe, zamówienie na roboty budowlane można podzielić na części (np. według kryterium branżowego) by umożliwić realizacje zamówienia (z podziałem na części) kilku wykonawcom. Również rozliczenie robót budowlanych winno nastąpić na podstawie umowy/umów na roboty budowlane lub faktury za wykonanie robót budowlanych. Przedstawianie do rozliczenia wielu faktur na poszczególne materiały budowlane i usługi, od różnych wykonawców (co de facto wskazuje na nieuprawniony podział zamówienia) </w:t>
      </w:r>
      <w:r w:rsidR="003E5B50">
        <w:rPr>
          <w:rFonts w:eastAsia="Calibri"/>
        </w:rPr>
        <w:br/>
      </w:r>
      <w:r w:rsidR="00195C7F">
        <w:rPr>
          <w:rFonts w:eastAsia="Calibri"/>
        </w:rPr>
        <w:t xml:space="preserve">i nieudokumentowanie, że na każdą część zamówienia pozyskano min. 2 oferty zgodnie </w:t>
      </w:r>
      <w:r w:rsidR="003E5B50">
        <w:rPr>
          <w:rFonts w:eastAsia="Calibri"/>
        </w:rPr>
        <w:br/>
      </w:r>
      <w:r w:rsidR="00195C7F">
        <w:rPr>
          <w:rFonts w:eastAsia="Calibri"/>
        </w:rPr>
        <w:t>z zasadami konkurencyjnego wyboru wykonawców (w takim przypadku każdy zakup należałoby potraktować jako odrębne zadanie, co oczywiście jest niezgodne z zestawieniem rzeczowo-finansowym oraz definicją robót budowlanych), skutkuje uznaniem tak poniesionych kosztów za niekwalifikowalne.</w:t>
      </w:r>
    </w:p>
    <w:p w14:paraId="64C1D730" w14:textId="77777777" w:rsidR="00BC6484" w:rsidRPr="00195C7F" w:rsidRDefault="00195C7F" w:rsidP="009F698B">
      <w:pPr>
        <w:pStyle w:val="Akapitzlist"/>
        <w:ind w:left="567" w:right="-289"/>
        <w:jc w:val="both"/>
        <w:rPr>
          <w:i/>
        </w:rPr>
      </w:pPr>
      <w:r>
        <w:rPr>
          <w:rFonts w:eastAsia="Calibri"/>
        </w:rPr>
        <w:t xml:space="preserve"> </w:t>
      </w:r>
    </w:p>
    <w:p w14:paraId="7B692AD8" w14:textId="77777777" w:rsidR="00195C7F" w:rsidRPr="009F698B" w:rsidRDefault="00195C7F" w:rsidP="00FA53F7">
      <w:pPr>
        <w:pStyle w:val="Akapitzlist"/>
        <w:numPr>
          <w:ilvl w:val="0"/>
          <w:numId w:val="2"/>
        </w:numPr>
        <w:ind w:left="567" w:right="-289"/>
        <w:jc w:val="both"/>
        <w:rPr>
          <w:i/>
        </w:rPr>
      </w:pPr>
      <w:r>
        <w:rPr>
          <w:rFonts w:eastAsia="Calibri"/>
        </w:rPr>
        <w:t xml:space="preserve">Nieprawidłowa konstrukcja zapytania ofertowego, brak wszystkich elementów, które określone zostały w </w:t>
      </w:r>
      <w:r w:rsidRPr="00195C7F">
        <w:rPr>
          <w:rFonts w:eastAsia="Calibri"/>
          <w:i/>
        </w:rPr>
        <w:t>Zasadach konkurencyjnego wyboru wykonawców</w:t>
      </w:r>
      <w:r>
        <w:rPr>
          <w:rFonts w:eastAsia="Calibri"/>
        </w:rPr>
        <w:t xml:space="preserve">. </w:t>
      </w:r>
    </w:p>
    <w:p w14:paraId="0C9D9B94" w14:textId="77777777" w:rsidR="009F698B" w:rsidRPr="009F698B" w:rsidRDefault="009F698B" w:rsidP="009F698B">
      <w:pPr>
        <w:pStyle w:val="Akapitzlist"/>
        <w:rPr>
          <w:i/>
        </w:rPr>
      </w:pPr>
    </w:p>
    <w:p w14:paraId="15664107" w14:textId="77777777" w:rsidR="009F698B" w:rsidRPr="00195C7F" w:rsidRDefault="009F698B" w:rsidP="009F698B">
      <w:pPr>
        <w:pStyle w:val="Akapitzlist"/>
        <w:ind w:left="567" w:right="-289"/>
        <w:jc w:val="both"/>
        <w:rPr>
          <w:i/>
        </w:rPr>
      </w:pPr>
    </w:p>
    <w:p w14:paraId="0ED96F3B" w14:textId="77777777" w:rsidR="00195C7F" w:rsidRPr="009F698B" w:rsidRDefault="00FC2398" w:rsidP="00FA53F7">
      <w:pPr>
        <w:pStyle w:val="Akapitzlist"/>
        <w:numPr>
          <w:ilvl w:val="0"/>
          <w:numId w:val="2"/>
        </w:numPr>
        <w:ind w:left="567" w:right="-289"/>
        <w:jc w:val="both"/>
        <w:rPr>
          <w:i/>
        </w:rPr>
      </w:pPr>
      <w:r>
        <w:t xml:space="preserve">Brak lub niewłaściwie sporządzony protokół dokumentujący postępowanie z wyłonienia wykonawcy, niezawierający wszystkich elementów określonych w </w:t>
      </w:r>
      <w:r w:rsidRPr="00195C7F">
        <w:rPr>
          <w:rFonts w:eastAsia="Calibri"/>
          <w:i/>
        </w:rPr>
        <w:t>Zasadach konkurencyjnego wyboru wykonawców</w:t>
      </w:r>
      <w:r>
        <w:rPr>
          <w:rFonts w:eastAsia="Calibri"/>
          <w:i/>
        </w:rPr>
        <w:t xml:space="preserve">. </w:t>
      </w:r>
    </w:p>
    <w:p w14:paraId="468CDB10" w14:textId="77777777" w:rsidR="009F698B" w:rsidRPr="00FC2398" w:rsidRDefault="009F698B" w:rsidP="009F698B">
      <w:pPr>
        <w:pStyle w:val="Akapitzlist"/>
        <w:ind w:left="567" w:right="-289"/>
        <w:jc w:val="both"/>
        <w:rPr>
          <w:i/>
        </w:rPr>
      </w:pPr>
    </w:p>
    <w:p w14:paraId="24BCCA3C" w14:textId="77777777" w:rsidR="00FC2398" w:rsidRPr="009F698B" w:rsidRDefault="00FC2398" w:rsidP="00FA53F7">
      <w:pPr>
        <w:pStyle w:val="Akapitzlist"/>
        <w:numPr>
          <w:ilvl w:val="0"/>
          <w:numId w:val="2"/>
        </w:numPr>
        <w:ind w:left="567" w:right="-289"/>
        <w:jc w:val="both"/>
        <w:rPr>
          <w:i/>
        </w:rPr>
      </w:pPr>
      <w:r>
        <w:rPr>
          <w:rFonts w:eastAsia="Calibri"/>
        </w:rPr>
        <w:t xml:space="preserve">Brak dokumentów potwierdzających wysłanie zapytania ofertowego do potencjalnych wykonawców, wpływ </w:t>
      </w:r>
      <w:r w:rsidR="003E6A70">
        <w:rPr>
          <w:rFonts w:eastAsia="Calibri"/>
        </w:rPr>
        <w:t>ofert od wykonawców, czy opublikowanie</w:t>
      </w:r>
      <w:r>
        <w:rPr>
          <w:rFonts w:eastAsia="Calibri"/>
        </w:rPr>
        <w:t xml:space="preserve"> zapytania ofertowego na stronie internetowej beneficjenta. Beneficjenci niekiedy przedstawiają oferty wykonawców czy przygotowane zapytanie ofertowe, jednakże bez potwierdzenia, że faktycznie </w:t>
      </w:r>
      <w:r>
        <w:rPr>
          <w:rFonts w:eastAsia="Calibri"/>
        </w:rPr>
        <w:lastRenderedPageBreak/>
        <w:t xml:space="preserve">udostępnili zapytanie w sposób przewidziany w </w:t>
      </w:r>
      <w:r w:rsidRPr="00FC2398">
        <w:rPr>
          <w:rFonts w:eastAsia="Calibri"/>
          <w:i/>
        </w:rPr>
        <w:t>Zasadach (…)</w:t>
      </w:r>
      <w:r>
        <w:rPr>
          <w:rFonts w:eastAsia="Calibri"/>
        </w:rPr>
        <w:t xml:space="preserve"> (wysłanie zapytania do potencjalnych wykonawców lub jego opublikowanie).</w:t>
      </w:r>
    </w:p>
    <w:p w14:paraId="79A715F8" w14:textId="77777777" w:rsidR="009F698B" w:rsidRPr="009F698B" w:rsidRDefault="009F698B" w:rsidP="009F698B">
      <w:pPr>
        <w:pStyle w:val="Akapitzlist"/>
        <w:rPr>
          <w:i/>
        </w:rPr>
      </w:pPr>
    </w:p>
    <w:p w14:paraId="1A02B173" w14:textId="77777777" w:rsidR="009F698B" w:rsidRPr="00FC2398" w:rsidRDefault="009F698B" w:rsidP="009F698B">
      <w:pPr>
        <w:pStyle w:val="Akapitzlist"/>
        <w:ind w:left="567" w:right="-289"/>
        <w:jc w:val="both"/>
        <w:rPr>
          <w:i/>
        </w:rPr>
      </w:pPr>
    </w:p>
    <w:p w14:paraId="745E410C" w14:textId="77777777" w:rsidR="00FC2398" w:rsidRPr="00981EA0" w:rsidRDefault="00FC2398" w:rsidP="00FA53F7">
      <w:pPr>
        <w:pStyle w:val="Akapitzlist"/>
        <w:numPr>
          <w:ilvl w:val="0"/>
          <w:numId w:val="2"/>
        </w:numPr>
        <w:ind w:left="567" w:right="-289"/>
        <w:jc w:val="both"/>
        <w:rPr>
          <w:i/>
        </w:rPr>
      </w:pPr>
      <w:r>
        <w:rPr>
          <w:rFonts w:eastAsia="Calibri"/>
        </w:rPr>
        <w:t xml:space="preserve">Nieprawidłowości w sposobie dokumentowania zachowania uczciwej konkurencji </w:t>
      </w:r>
      <w:r w:rsidR="003E5B50">
        <w:rPr>
          <w:rFonts w:eastAsia="Calibri"/>
        </w:rPr>
        <w:br/>
      </w:r>
      <w:r>
        <w:rPr>
          <w:rFonts w:eastAsia="Calibri"/>
        </w:rPr>
        <w:t xml:space="preserve">w przypadku beneficjentów korzystających z tzw. opisu działań przewidzianego w </w:t>
      </w:r>
      <w:r w:rsidRPr="00FC2398">
        <w:rPr>
          <w:rFonts w:eastAsia="Calibri"/>
          <w:i/>
        </w:rPr>
        <w:t>Zasadach (…)</w:t>
      </w:r>
      <w:r>
        <w:rPr>
          <w:rFonts w:eastAsia="Calibri"/>
          <w:i/>
        </w:rPr>
        <w:t xml:space="preserve">, </w:t>
      </w:r>
      <w:r>
        <w:rPr>
          <w:rFonts w:eastAsia="Calibri"/>
        </w:rPr>
        <w:t xml:space="preserve">w odniesieniu do zamówień wszczętych nie później niż w dniu 8 czerwca 2018 r. Pomimo, iż </w:t>
      </w:r>
      <w:r w:rsidRPr="00FC2398">
        <w:rPr>
          <w:rFonts w:eastAsia="Calibri"/>
          <w:i/>
        </w:rPr>
        <w:t>Zasady konkurencyjnego wyboru wykonawców</w:t>
      </w:r>
      <w:r>
        <w:rPr>
          <w:rFonts w:eastAsia="Calibri"/>
        </w:rPr>
        <w:t xml:space="preserve"> nie precyzują</w:t>
      </w:r>
      <w:r w:rsidR="0009301A">
        <w:rPr>
          <w:rFonts w:eastAsia="Calibri"/>
        </w:rPr>
        <w:t xml:space="preserve">, jak sporządzić opis działań, a jedynie wskazują na 3 uwarunkowania, których zachowanie winno z opisu działań wynikać, rekomenduje się, aby beneficjent w dowolny sposób starał się udokumentować, że: została zachowana uczciwa konkurencja i równe traktowanie wykonawców, środki w ramach PO Rybactwo i Morze 2014 – 2020 zostały wydatkowane w sposób celowy i oszczędny oraz że zachowano bezstronność i obiektywizm. W razie uzasadnionych wątpliwości instytucja wdrażająca może wezwać beneficjenta o dodatkowe wyjaśnienia w tym zakresie. </w:t>
      </w:r>
    </w:p>
    <w:p w14:paraId="5EF25302" w14:textId="77777777" w:rsidR="00981EA0" w:rsidRPr="00981EA0" w:rsidRDefault="00981EA0" w:rsidP="00981EA0">
      <w:pPr>
        <w:ind w:right="-289"/>
      </w:pPr>
    </w:p>
    <w:p w14:paraId="11675210" w14:textId="77777777" w:rsidR="002B0DAA" w:rsidRPr="002B0DAA" w:rsidRDefault="002B0DAA" w:rsidP="002B0DAA">
      <w:pPr>
        <w:ind w:right="-289"/>
        <w:rPr>
          <w:i/>
        </w:rPr>
      </w:pPr>
    </w:p>
    <w:p w14:paraId="43C3FD97" w14:textId="77777777" w:rsidR="00B351C7" w:rsidRPr="002E1CAB" w:rsidRDefault="00B351C7" w:rsidP="00B351C7">
      <w:pPr>
        <w:ind w:right="-289"/>
      </w:pPr>
    </w:p>
    <w:p w14:paraId="50E45229" w14:textId="77777777" w:rsidR="00D84AB8" w:rsidRPr="002E1CAB" w:rsidRDefault="00D84AB8" w:rsidP="00812732">
      <w:pPr>
        <w:ind w:right="-289"/>
        <w:rPr>
          <w:b/>
          <w:u w:val="single"/>
        </w:rPr>
      </w:pPr>
    </w:p>
    <w:p w14:paraId="6230D399" w14:textId="77777777" w:rsidR="00D84AB8" w:rsidRPr="002E1CAB" w:rsidRDefault="00D84AB8" w:rsidP="00812732">
      <w:pPr>
        <w:ind w:right="-289"/>
        <w:rPr>
          <w:b/>
          <w:u w:val="single"/>
        </w:rPr>
      </w:pPr>
    </w:p>
    <w:p w14:paraId="06327338" w14:textId="77777777" w:rsidR="00D84AB8" w:rsidRPr="002E1CAB" w:rsidRDefault="00D84AB8" w:rsidP="00812732">
      <w:pPr>
        <w:ind w:right="-289"/>
        <w:rPr>
          <w:b/>
          <w:u w:val="single"/>
        </w:rPr>
      </w:pPr>
    </w:p>
    <w:p w14:paraId="587AEEA1" w14:textId="77777777" w:rsidR="00D84AB8" w:rsidRPr="002E1CAB" w:rsidRDefault="00D84AB8" w:rsidP="00812732">
      <w:pPr>
        <w:ind w:right="-289"/>
        <w:rPr>
          <w:b/>
          <w:u w:val="single"/>
        </w:rPr>
      </w:pPr>
    </w:p>
    <w:p w14:paraId="7F2174AB" w14:textId="77777777" w:rsidR="00D84AB8" w:rsidRPr="002E1CAB" w:rsidRDefault="00D84AB8" w:rsidP="00812732">
      <w:pPr>
        <w:ind w:right="-289"/>
        <w:rPr>
          <w:b/>
          <w:u w:val="single"/>
        </w:rPr>
      </w:pPr>
    </w:p>
    <w:p w14:paraId="4185D0B0" w14:textId="77777777" w:rsidR="00D84AB8" w:rsidRPr="002E1CAB" w:rsidRDefault="00D84AB8" w:rsidP="00812732">
      <w:pPr>
        <w:ind w:right="-289"/>
        <w:rPr>
          <w:b/>
          <w:u w:val="single"/>
        </w:rPr>
      </w:pPr>
    </w:p>
    <w:p w14:paraId="45A3C07C" w14:textId="77777777" w:rsidR="00D84AB8" w:rsidRPr="002E1CAB" w:rsidRDefault="00D84AB8" w:rsidP="00812732">
      <w:pPr>
        <w:ind w:right="-289"/>
        <w:rPr>
          <w:b/>
          <w:u w:val="single"/>
        </w:rPr>
      </w:pPr>
    </w:p>
    <w:p w14:paraId="361C3901" w14:textId="77777777" w:rsidR="00D84AB8" w:rsidRPr="002E1CAB" w:rsidRDefault="00D84AB8" w:rsidP="00812732">
      <w:pPr>
        <w:ind w:right="-289"/>
        <w:rPr>
          <w:b/>
          <w:u w:val="single"/>
        </w:rPr>
      </w:pPr>
    </w:p>
    <w:p w14:paraId="73C39AAD" w14:textId="77777777" w:rsidR="00D84AB8" w:rsidRPr="002E1CAB" w:rsidRDefault="00D84AB8" w:rsidP="00812732">
      <w:pPr>
        <w:ind w:right="-289"/>
        <w:rPr>
          <w:b/>
          <w:u w:val="single"/>
        </w:rPr>
      </w:pPr>
    </w:p>
    <w:sectPr w:rsidR="00D84AB8" w:rsidRPr="002E1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52F99"/>
    <w:multiLevelType w:val="hybridMultilevel"/>
    <w:tmpl w:val="1C844492"/>
    <w:lvl w:ilvl="0" w:tplc="E124B55E">
      <w:start w:val="1"/>
      <w:numFmt w:val="decimal"/>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88605E"/>
    <w:multiLevelType w:val="hybridMultilevel"/>
    <w:tmpl w:val="99002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32"/>
    <w:rsid w:val="0000238C"/>
    <w:rsid w:val="000718E0"/>
    <w:rsid w:val="0008285A"/>
    <w:rsid w:val="00085CB9"/>
    <w:rsid w:val="0009301A"/>
    <w:rsid w:val="000A1695"/>
    <w:rsid w:val="000C65FE"/>
    <w:rsid w:val="001542D6"/>
    <w:rsid w:val="00193202"/>
    <w:rsid w:val="00195C7F"/>
    <w:rsid w:val="001C1AB3"/>
    <w:rsid w:val="001F51EC"/>
    <w:rsid w:val="00232CFC"/>
    <w:rsid w:val="002A1DAB"/>
    <w:rsid w:val="002B0DAA"/>
    <w:rsid w:val="002C3F82"/>
    <w:rsid w:val="002E1CAB"/>
    <w:rsid w:val="00307818"/>
    <w:rsid w:val="003259F0"/>
    <w:rsid w:val="00330384"/>
    <w:rsid w:val="00333015"/>
    <w:rsid w:val="003B3CA1"/>
    <w:rsid w:val="003E5B50"/>
    <w:rsid w:val="003E6A70"/>
    <w:rsid w:val="00640005"/>
    <w:rsid w:val="00721E5F"/>
    <w:rsid w:val="007716DA"/>
    <w:rsid w:val="00787B14"/>
    <w:rsid w:val="00791DFA"/>
    <w:rsid w:val="00812732"/>
    <w:rsid w:val="0086372F"/>
    <w:rsid w:val="008B3495"/>
    <w:rsid w:val="00931CA4"/>
    <w:rsid w:val="00932377"/>
    <w:rsid w:val="009729FD"/>
    <w:rsid w:val="00981EA0"/>
    <w:rsid w:val="009D67C8"/>
    <w:rsid w:val="009F698B"/>
    <w:rsid w:val="00A21E14"/>
    <w:rsid w:val="00B351C7"/>
    <w:rsid w:val="00BC6484"/>
    <w:rsid w:val="00C77E8D"/>
    <w:rsid w:val="00D50277"/>
    <w:rsid w:val="00D763D6"/>
    <w:rsid w:val="00D84AB8"/>
    <w:rsid w:val="00D87F9F"/>
    <w:rsid w:val="00E171DE"/>
    <w:rsid w:val="00E33C03"/>
    <w:rsid w:val="00E80EA6"/>
    <w:rsid w:val="00F054D1"/>
    <w:rsid w:val="00F477FB"/>
    <w:rsid w:val="00F553C3"/>
    <w:rsid w:val="00F708F0"/>
    <w:rsid w:val="00FA53F7"/>
    <w:rsid w:val="00FC2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C968"/>
  <w15:chartTrackingRefBased/>
  <w15:docId w15:val="{13774DC2-C77F-4BBE-BBF4-CBB18558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812732"/>
    <w:pPr>
      <w:spacing w:before="240"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3495"/>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495"/>
    <w:rPr>
      <w:rFonts w:ascii="Segoe UI" w:eastAsia="Times New Roman" w:hAnsi="Segoe UI" w:cs="Segoe UI"/>
      <w:sz w:val="18"/>
      <w:szCs w:val="18"/>
      <w:lang w:eastAsia="pl-PL"/>
    </w:rPr>
  </w:style>
  <w:style w:type="paragraph" w:styleId="Akapitzlist">
    <w:name w:val="List Paragraph"/>
    <w:basedOn w:val="Normalny"/>
    <w:uiPriority w:val="34"/>
    <w:qFormat/>
    <w:rsid w:val="0033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26769">
      <w:bodyDiv w:val="1"/>
      <w:marLeft w:val="0"/>
      <w:marRight w:val="0"/>
      <w:marTop w:val="0"/>
      <w:marBottom w:val="0"/>
      <w:divBdr>
        <w:top w:val="none" w:sz="0" w:space="0" w:color="auto"/>
        <w:left w:val="none" w:sz="0" w:space="0" w:color="auto"/>
        <w:bottom w:val="none" w:sz="0" w:space="0" w:color="auto"/>
        <w:right w:val="none" w:sz="0" w:space="0" w:color="auto"/>
      </w:divBdr>
    </w:div>
    <w:div w:id="985667219">
      <w:bodyDiv w:val="1"/>
      <w:marLeft w:val="0"/>
      <w:marRight w:val="0"/>
      <w:marTop w:val="0"/>
      <w:marBottom w:val="0"/>
      <w:divBdr>
        <w:top w:val="none" w:sz="0" w:space="0" w:color="auto"/>
        <w:left w:val="none" w:sz="0" w:space="0" w:color="auto"/>
        <w:bottom w:val="none" w:sz="0" w:space="0" w:color="auto"/>
        <w:right w:val="none" w:sz="0" w:space="0" w:color="auto"/>
      </w:divBdr>
    </w:div>
    <w:div w:id="1180196016">
      <w:bodyDiv w:val="1"/>
      <w:marLeft w:val="0"/>
      <w:marRight w:val="0"/>
      <w:marTop w:val="0"/>
      <w:marBottom w:val="0"/>
      <w:divBdr>
        <w:top w:val="none" w:sz="0" w:space="0" w:color="auto"/>
        <w:left w:val="none" w:sz="0" w:space="0" w:color="auto"/>
        <w:bottom w:val="none" w:sz="0" w:space="0" w:color="auto"/>
        <w:right w:val="none" w:sz="0" w:space="0" w:color="auto"/>
      </w:divBdr>
    </w:div>
    <w:div w:id="14209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6840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Augustyniak Sonia</dc:creator>
  <cp:keywords/>
  <dc:description/>
  <cp:lastModifiedBy>NGR-2 NGR</cp:lastModifiedBy>
  <cp:revision>2</cp:revision>
  <cp:lastPrinted>2019-07-15T11:14:00Z</cp:lastPrinted>
  <dcterms:created xsi:type="dcterms:W3CDTF">2021-03-11T09:41:00Z</dcterms:created>
  <dcterms:modified xsi:type="dcterms:W3CDTF">2021-03-11T09:41:00Z</dcterms:modified>
</cp:coreProperties>
</file>